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8BDB" w14:textId="77777777" w:rsidR="008914C9" w:rsidRPr="002C300D" w:rsidRDefault="008914C9" w:rsidP="008914C9">
      <w:pPr>
        <w:pStyle w:val="Title"/>
        <w:jc w:val="center"/>
        <w:rPr>
          <w:b/>
          <w:sz w:val="40"/>
          <w:szCs w:val="40"/>
        </w:rPr>
      </w:pPr>
      <w:r w:rsidRPr="002C300D">
        <w:rPr>
          <w:b/>
          <w:sz w:val="40"/>
          <w:szCs w:val="40"/>
        </w:rPr>
        <w:t>Value Proposition</w:t>
      </w:r>
    </w:p>
    <w:p w14:paraId="0699F26D" w14:textId="77777777" w:rsidR="002C300D" w:rsidRPr="002C300D" w:rsidRDefault="002C300D" w:rsidP="008914C9">
      <w:pPr>
        <w:pStyle w:val="Title"/>
        <w:jc w:val="center"/>
        <w:rPr>
          <w:b/>
          <w:sz w:val="40"/>
          <w:szCs w:val="40"/>
        </w:rPr>
      </w:pPr>
      <w:r w:rsidRPr="002C300D">
        <w:rPr>
          <w:b/>
          <w:sz w:val="40"/>
          <w:szCs w:val="40"/>
        </w:rPr>
        <w:t xml:space="preserve">SANEDI </w:t>
      </w:r>
    </w:p>
    <w:p w14:paraId="7068D4F7" w14:textId="5AC46F6F" w:rsidR="008914C9" w:rsidRPr="002C300D" w:rsidRDefault="008914C9" w:rsidP="008914C9">
      <w:pPr>
        <w:pStyle w:val="Title"/>
        <w:jc w:val="center"/>
        <w:rPr>
          <w:b/>
          <w:sz w:val="40"/>
          <w:szCs w:val="40"/>
        </w:rPr>
      </w:pPr>
      <w:r w:rsidRPr="002C300D">
        <w:rPr>
          <w:b/>
          <w:sz w:val="40"/>
          <w:szCs w:val="40"/>
        </w:rPr>
        <w:t>Plasma Gasification Waste Treatment</w:t>
      </w:r>
      <w:r w:rsidR="002C300D" w:rsidRPr="002C300D">
        <w:rPr>
          <w:b/>
          <w:sz w:val="40"/>
          <w:szCs w:val="40"/>
        </w:rPr>
        <w:t xml:space="preserve"> (PlasWen)</w:t>
      </w:r>
    </w:p>
    <w:p w14:paraId="00BEF667" w14:textId="7CB679A9" w:rsidR="008914C9" w:rsidRDefault="008914C9" w:rsidP="002C300D">
      <w:pPr>
        <w:spacing w:before="240" w:after="0" w:line="360" w:lineRule="auto"/>
        <w:ind w:left="0"/>
        <w:rPr>
          <w:rFonts w:asciiTheme="minorHAnsi" w:hAnsiTheme="minorHAnsi" w:cstheme="minorHAnsi"/>
          <w:sz w:val="24"/>
          <w:szCs w:val="28"/>
        </w:rPr>
      </w:pPr>
      <w:r w:rsidRPr="002C300D">
        <w:rPr>
          <w:rFonts w:asciiTheme="minorHAnsi" w:hAnsiTheme="minorHAnsi" w:cstheme="minorHAnsi"/>
          <w:sz w:val="24"/>
          <w:szCs w:val="28"/>
        </w:rPr>
        <w:t>By: Dr. IJ v</w:t>
      </w:r>
      <w:r w:rsidR="002C300D" w:rsidRPr="002C300D">
        <w:rPr>
          <w:rFonts w:asciiTheme="minorHAnsi" w:hAnsiTheme="minorHAnsi" w:cstheme="minorHAnsi"/>
          <w:sz w:val="24"/>
          <w:szCs w:val="28"/>
        </w:rPr>
        <w:t xml:space="preserve">an der </w:t>
      </w:r>
      <w:r w:rsidRPr="002C300D">
        <w:rPr>
          <w:rFonts w:asciiTheme="minorHAnsi" w:hAnsiTheme="minorHAnsi" w:cstheme="minorHAnsi"/>
          <w:sz w:val="24"/>
          <w:szCs w:val="28"/>
        </w:rPr>
        <w:t>Walt</w:t>
      </w:r>
      <w:r w:rsidR="00EC6268" w:rsidRPr="002C300D">
        <w:rPr>
          <w:rFonts w:asciiTheme="minorHAnsi" w:hAnsiTheme="minorHAnsi" w:cstheme="minorHAnsi"/>
          <w:sz w:val="24"/>
          <w:szCs w:val="28"/>
        </w:rPr>
        <w:t xml:space="preserve"> and Dr NJ </w:t>
      </w:r>
      <w:r w:rsidR="00F92F59" w:rsidRPr="002C300D">
        <w:rPr>
          <w:rFonts w:asciiTheme="minorHAnsi" w:hAnsiTheme="minorHAnsi" w:cstheme="minorHAnsi"/>
          <w:sz w:val="24"/>
          <w:szCs w:val="28"/>
        </w:rPr>
        <w:t xml:space="preserve">Smith </w:t>
      </w:r>
      <w:r w:rsidR="00F92F59" w:rsidRPr="002C300D">
        <w:rPr>
          <w:rFonts w:asciiTheme="minorHAnsi" w:hAnsiTheme="minorHAnsi" w:cstheme="minorHAnsi"/>
          <w:sz w:val="24"/>
          <w:szCs w:val="28"/>
        </w:rPr>
        <w:tab/>
      </w:r>
      <w:r w:rsidR="000F4040" w:rsidRPr="002C300D">
        <w:rPr>
          <w:rFonts w:asciiTheme="minorHAnsi" w:hAnsiTheme="minorHAnsi" w:cstheme="minorHAnsi"/>
          <w:sz w:val="24"/>
          <w:szCs w:val="28"/>
        </w:rPr>
        <w:tab/>
      </w:r>
      <w:r w:rsidR="000F4040" w:rsidRPr="002C300D">
        <w:rPr>
          <w:rFonts w:asciiTheme="minorHAnsi" w:hAnsiTheme="minorHAnsi" w:cstheme="minorHAnsi"/>
          <w:sz w:val="24"/>
          <w:szCs w:val="28"/>
        </w:rPr>
        <w:tab/>
      </w:r>
      <w:r w:rsidR="000F4040" w:rsidRPr="002C300D">
        <w:rPr>
          <w:rFonts w:asciiTheme="minorHAnsi" w:hAnsiTheme="minorHAnsi" w:cstheme="minorHAnsi"/>
          <w:sz w:val="24"/>
          <w:szCs w:val="28"/>
        </w:rPr>
        <w:tab/>
        <w:t>Date:</w:t>
      </w:r>
      <w:r w:rsidR="006122E7" w:rsidRPr="002C300D">
        <w:rPr>
          <w:rFonts w:asciiTheme="minorHAnsi" w:hAnsiTheme="minorHAnsi" w:cstheme="minorHAnsi"/>
          <w:sz w:val="24"/>
          <w:szCs w:val="28"/>
        </w:rPr>
        <w:t xml:space="preserve"> </w:t>
      </w:r>
      <w:r w:rsidR="000F4040" w:rsidRPr="002C300D">
        <w:rPr>
          <w:rFonts w:asciiTheme="minorHAnsi" w:hAnsiTheme="minorHAnsi" w:cstheme="minorHAnsi"/>
          <w:sz w:val="24"/>
          <w:szCs w:val="28"/>
        </w:rPr>
        <w:t>202</w:t>
      </w:r>
      <w:r w:rsidR="00DF4882" w:rsidRPr="002C300D">
        <w:rPr>
          <w:rFonts w:asciiTheme="minorHAnsi" w:hAnsiTheme="minorHAnsi" w:cstheme="minorHAnsi"/>
          <w:sz w:val="24"/>
          <w:szCs w:val="28"/>
        </w:rPr>
        <w:t>2</w:t>
      </w:r>
      <w:r w:rsidR="006122E7" w:rsidRPr="002C300D">
        <w:rPr>
          <w:rFonts w:asciiTheme="minorHAnsi" w:hAnsiTheme="minorHAnsi" w:cstheme="minorHAnsi"/>
          <w:sz w:val="24"/>
          <w:szCs w:val="28"/>
        </w:rPr>
        <w:t>-02-22</w:t>
      </w:r>
    </w:p>
    <w:p w14:paraId="7F6632F0" w14:textId="77777777" w:rsidR="002C300D" w:rsidRPr="002C300D" w:rsidRDefault="002C300D" w:rsidP="002C300D">
      <w:pPr>
        <w:spacing w:after="0" w:line="360" w:lineRule="auto"/>
        <w:ind w:left="0"/>
        <w:rPr>
          <w:rFonts w:asciiTheme="minorHAnsi" w:hAnsiTheme="minorHAnsi" w:cstheme="minorHAnsi"/>
          <w:sz w:val="24"/>
          <w:szCs w:val="28"/>
        </w:rPr>
      </w:pPr>
    </w:p>
    <w:p w14:paraId="38FF8BD6" w14:textId="0E6218FD" w:rsidR="008914C9" w:rsidRPr="006122E7" w:rsidRDefault="006122E7" w:rsidP="006122E7">
      <w:pPr>
        <w:pStyle w:val="ListParagraph"/>
        <w:rPr>
          <w:i/>
        </w:rPr>
      </w:pPr>
      <w:r w:rsidRPr="006122E7">
        <w:t xml:space="preserve">INTRODUCTION </w:t>
      </w:r>
    </w:p>
    <w:p w14:paraId="376D09EA" w14:textId="24162B59" w:rsidR="00C5066E" w:rsidRDefault="00C5066E" w:rsidP="006122E7">
      <w:pPr>
        <w:spacing w:before="240" w:line="360" w:lineRule="auto"/>
        <w:ind w:left="0"/>
      </w:pPr>
      <w:r>
        <w:t xml:space="preserve">With plasma gasification, an electric arc heats a gas stream (air or nitrogen), at </w:t>
      </w:r>
      <w:r w:rsidR="00F92F59">
        <w:t>extremely elevated temperatures</w:t>
      </w:r>
      <w:r>
        <w:t xml:space="preserve"> typically 5000</w:t>
      </w:r>
      <w:r w:rsidRPr="004A5CED">
        <w:rPr>
          <w:vertAlign w:val="superscript"/>
        </w:rPr>
        <w:t>0</w:t>
      </w:r>
      <w:r>
        <w:t xml:space="preserve">C, thereby supplying the required energy to the process. </w:t>
      </w:r>
    </w:p>
    <w:p w14:paraId="409D412D" w14:textId="0EDE7DD9" w:rsidR="008914C9" w:rsidRDefault="008914C9" w:rsidP="006122E7">
      <w:pPr>
        <w:spacing w:before="240" w:line="360" w:lineRule="auto"/>
        <w:ind w:left="0"/>
      </w:pPr>
      <w:r>
        <w:t>The p</w:t>
      </w:r>
      <w:r w:rsidRPr="00A5753F">
        <w:t xml:space="preserve">lasma delivers energy needed </w:t>
      </w:r>
      <w:r>
        <w:t>to maintain</w:t>
      </w:r>
      <w:r w:rsidRPr="00A5753F">
        <w:t xml:space="preserve"> </w:t>
      </w:r>
      <w:r>
        <w:t>the</w:t>
      </w:r>
      <w:r w:rsidRPr="00A5753F">
        <w:t xml:space="preserve"> temperature </w:t>
      </w:r>
      <w:r>
        <w:t>inside</w:t>
      </w:r>
      <w:r w:rsidRPr="00A5753F">
        <w:t xml:space="preserve"> the </w:t>
      </w:r>
      <w:r w:rsidRPr="008914C9">
        <w:t xml:space="preserve">gasification reactor volume at values needed for dissociation of molecules of gases produced by material decomposition. Due to the </w:t>
      </w:r>
      <w:r w:rsidR="00F92F59" w:rsidRPr="008914C9">
        <w:t>elevated temperature</w:t>
      </w:r>
      <w:r w:rsidRPr="008914C9">
        <w:t xml:space="preserve"> the </w:t>
      </w:r>
      <w:r>
        <w:t>ash, metals and glass</w:t>
      </w:r>
      <w:r w:rsidRPr="008914C9">
        <w:t xml:space="preserve"> </w:t>
      </w:r>
      <w:r>
        <w:t>in</w:t>
      </w:r>
      <w:r w:rsidRPr="008914C9">
        <w:t xml:space="preserve"> </w:t>
      </w:r>
      <w:r>
        <w:t>the waste</w:t>
      </w:r>
      <w:r w:rsidRPr="008914C9">
        <w:t xml:space="preserve"> are melted, organic components are volatilized</w:t>
      </w:r>
      <w:r w:rsidR="00C5066E">
        <w:t>,</w:t>
      </w:r>
      <w:r w:rsidRPr="008914C9">
        <w:t xml:space="preserve"> and complex molecules are dissociated. Molten </w:t>
      </w:r>
      <w:r>
        <w:t>slag</w:t>
      </w:r>
      <w:r w:rsidRPr="00A5753F">
        <w:t xml:space="preserve"> </w:t>
      </w:r>
      <w:r w:rsidR="00C5066E">
        <w:t>is</w:t>
      </w:r>
      <w:r w:rsidRPr="00A5753F">
        <w:t xml:space="preserve"> removed from the reactor</w:t>
      </w:r>
      <w:r w:rsidR="00C5066E">
        <w:t>,</w:t>
      </w:r>
      <w:r w:rsidRPr="00A5753F">
        <w:t xml:space="preserve"> and after cooling and solidification</w:t>
      </w:r>
      <w:r w:rsidR="00C5066E">
        <w:t>,</w:t>
      </w:r>
      <w:r w:rsidRPr="00A5753F">
        <w:t xml:space="preserve"> </w:t>
      </w:r>
      <w:r>
        <w:t>a substance similar to</w:t>
      </w:r>
      <w:r w:rsidRPr="00A5753F">
        <w:t xml:space="preserve"> lava</w:t>
      </w:r>
      <w:r w:rsidR="00C5066E">
        <w:t xml:space="preserve"> is produced</w:t>
      </w:r>
      <w:r>
        <w:t xml:space="preserve">. Organic materials, containing mostly chemically bound carbon, </w:t>
      </w:r>
      <w:r w:rsidR="00F92F59">
        <w:t>hydrogen,</w:t>
      </w:r>
      <w:r>
        <w:t xml:space="preserve"> and oxygen, are decomposed into syngas that can be utili</w:t>
      </w:r>
      <w:r w:rsidR="00C5066E">
        <w:t>s</w:t>
      </w:r>
      <w:r>
        <w:t>ed as various energy products</w:t>
      </w:r>
      <w:r w:rsidR="00C5066E">
        <w:t xml:space="preserve">, for example </w:t>
      </w:r>
      <w:r>
        <w:t>high quality fuel or electricity.</w:t>
      </w:r>
      <w:r w:rsidR="00C5066E">
        <w:t xml:space="preserve"> </w:t>
      </w:r>
      <w:r w:rsidR="00C5066E" w:rsidRPr="006122E7">
        <w:rPr>
          <w:b/>
          <w:bCs/>
        </w:rPr>
        <w:t>Figure 1</w:t>
      </w:r>
      <w:r w:rsidR="00C5066E">
        <w:t xml:space="preserve"> is an illustration of the gasification process. </w:t>
      </w:r>
    </w:p>
    <w:p w14:paraId="6BDA31E3" w14:textId="77777777" w:rsidR="008914C9" w:rsidRDefault="008914C9" w:rsidP="008914C9">
      <w:r w:rsidRPr="004376DE">
        <w:rPr>
          <w:noProof/>
        </w:rPr>
        <w:drawing>
          <wp:inline distT="0" distB="0" distL="0" distR="0" wp14:anchorId="1E56CF18" wp14:editId="6378C466">
            <wp:extent cx="5452745" cy="3680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488" cy="368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8C9CD" w14:textId="25BA1FC2" w:rsidR="008914C9" w:rsidRPr="006122E7" w:rsidRDefault="00C5066E" w:rsidP="00C5066E">
      <w:pPr>
        <w:pStyle w:val="Caption"/>
        <w:jc w:val="center"/>
        <w:rPr>
          <w:b/>
          <w:bCs/>
          <w:i w:val="0"/>
          <w:iCs w:val="0"/>
          <w:sz w:val="20"/>
          <w:szCs w:val="20"/>
        </w:rPr>
      </w:pPr>
      <w:r w:rsidRPr="006122E7">
        <w:rPr>
          <w:b/>
          <w:bCs/>
          <w:i w:val="0"/>
          <w:iCs w:val="0"/>
          <w:sz w:val="20"/>
          <w:szCs w:val="20"/>
        </w:rPr>
        <w:t xml:space="preserve">Figure </w:t>
      </w:r>
      <w:r w:rsidRPr="006122E7">
        <w:rPr>
          <w:b/>
          <w:bCs/>
          <w:i w:val="0"/>
          <w:iCs w:val="0"/>
          <w:sz w:val="20"/>
          <w:szCs w:val="20"/>
        </w:rPr>
        <w:fldChar w:fldCharType="begin"/>
      </w:r>
      <w:r w:rsidRPr="006122E7">
        <w:rPr>
          <w:b/>
          <w:bCs/>
          <w:i w:val="0"/>
          <w:iCs w:val="0"/>
          <w:sz w:val="20"/>
          <w:szCs w:val="20"/>
        </w:rPr>
        <w:instrText xml:space="preserve"> SEQ Figure \* ARABIC </w:instrText>
      </w:r>
      <w:r w:rsidRPr="006122E7">
        <w:rPr>
          <w:b/>
          <w:bCs/>
          <w:i w:val="0"/>
          <w:iCs w:val="0"/>
          <w:sz w:val="20"/>
          <w:szCs w:val="20"/>
        </w:rPr>
        <w:fldChar w:fldCharType="separate"/>
      </w:r>
      <w:r w:rsidR="00EC6268" w:rsidRPr="006122E7">
        <w:rPr>
          <w:b/>
          <w:bCs/>
          <w:i w:val="0"/>
          <w:iCs w:val="0"/>
          <w:noProof/>
          <w:sz w:val="20"/>
          <w:szCs w:val="20"/>
        </w:rPr>
        <w:t>1</w:t>
      </w:r>
      <w:r w:rsidRPr="006122E7">
        <w:rPr>
          <w:b/>
          <w:bCs/>
          <w:i w:val="0"/>
          <w:iCs w:val="0"/>
          <w:sz w:val="20"/>
          <w:szCs w:val="20"/>
        </w:rPr>
        <w:fldChar w:fldCharType="end"/>
      </w:r>
      <w:r w:rsidRPr="006122E7">
        <w:rPr>
          <w:b/>
          <w:bCs/>
          <w:i w:val="0"/>
          <w:iCs w:val="0"/>
          <w:sz w:val="20"/>
          <w:szCs w:val="20"/>
        </w:rPr>
        <w:t>: Typical Gasification Process</w:t>
      </w:r>
    </w:p>
    <w:p w14:paraId="48228C86" w14:textId="73C15483" w:rsidR="00D34E75" w:rsidRPr="00571E7D" w:rsidRDefault="006122E7" w:rsidP="006122E7">
      <w:pPr>
        <w:pStyle w:val="ListParagraph"/>
        <w:rPr>
          <w:i/>
        </w:rPr>
      </w:pPr>
      <w:r w:rsidRPr="00571E7D">
        <w:t xml:space="preserve">TECHNOLOGY VALUE PROPOSITION </w:t>
      </w:r>
    </w:p>
    <w:p w14:paraId="6FC7DA6E" w14:textId="078E3F52" w:rsidR="00D34E75" w:rsidRPr="00DF569A" w:rsidRDefault="00EC6268" w:rsidP="006122E7">
      <w:pPr>
        <w:spacing w:before="240" w:line="360" w:lineRule="auto"/>
        <w:ind w:left="0"/>
        <w:rPr>
          <w:bCs/>
        </w:rPr>
      </w:pPr>
      <w:r>
        <w:rPr>
          <w:rFonts w:cs="Arial"/>
          <w:color w:val="000000" w:themeColor="text1"/>
        </w:rPr>
        <w:t xml:space="preserve">SANEDI commissioned </w:t>
      </w:r>
      <w:r w:rsidRPr="00FE635B">
        <w:rPr>
          <w:rFonts w:cs="Arial"/>
          <w:color w:val="000000" w:themeColor="text1"/>
        </w:rPr>
        <w:t>NECSA</w:t>
      </w:r>
      <w:r w:rsidR="00D34E75" w:rsidRPr="00FE635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to design and build </w:t>
      </w:r>
      <w:r w:rsidR="00D34E75" w:rsidRPr="00FE635B">
        <w:rPr>
          <w:rFonts w:cs="Arial"/>
          <w:color w:val="000000" w:themeColor="text1"/>
        </w:rPr>
        <w:t>a more environmentally friendly</w:t>
      </w:r>
      <w:r w:rsidR="00D34E75">
        <w:rPr>
          <w:rFonts w:cs="Arial"/>
          <w:color w:val="000000" w:themeColor="text1"/>
        </w:rPr>
        <w:t xml:space="preserve"> Plasma Waste Gasification (PlasGas) and Plasma Waste to Energy (PlasW</w:t>
      </w:r>
      <w:r>
        <w:rPr>
          <w:rFonts w:cs="Arial"/>
          <w:color w:val="000000" w:themeColor="text1"/>
        </w:rPr>
        <w:t>e</w:t>
      </w:r>
      <w:r w:rsidR="00D34E75">
        <w:rPr>
          <w:rFonts w:cs="Arial"/>
          <w:color w:val="000000" w:themeColor="text1"/>
        </w:rPr>
        <w:t>n) systems.</w:t>
      </w:r>
      <w:r w:rsidR="00D34E75" w:rsidRPr="00FE635B">
        <w:rPr>
          <w:rFonts w:cs="Arial"/>
          <w:color w:val="000000" w:themeColor="text1"/>
        </w:rPr>
        <w:t xml:space="preserve"> </w:t>
      </w:r>
      <w:r w:rsidR="00D34E75">
        <w:t xml:space="preserve">In </w:t>
      </w:r>
      <w:r w:rsidR="00D34E75" w:rsidRPr="00B335A4">
        <w:rPr>
          <w:b/>
        </w:rPr>
        <w:t>plasma gasification</w:t>
      </w:r>
      <w:r w:rsidR="00D34E75" w:rsidRPr="0091356F">
        <w:t xml:space="preserve"> a gas stream</w:t>
      </w:r>
      <w:r w:rsidR="00D34E75">
        <w:t xml:space="preserve">, </w:t>
      </w:r>
      <w:r w:rsidR="00D34E75" w:rsidRPr="0091356F">
        <w:t>typically air or nitrogen</w:t>
      </w:r>
      <w:r w:rsidR="00D34E75">
        <w:t>, is heated by an electric arc</w:t>
      </w:r>
      <w:r w:rsidR="00D34E75" w:rsidRPr="0091356F">
        <w:t xml:space="preserve"> to </w:t>
      </w:r>
      <w:r w:rsidR="00F92F59" w:rsidRPr="0091356F">
        <w:t>extremely elevated temperatures</w:t>
      </w:r>
      <w:r w:rsidR="00D34E75" w:rsidRPr="0091356F">
        <w:t xml:space="preserve"> (5000 °C or more) to supply the required energy to the process. </w:t>
      </w:r>
      <w:r w:rsidR="00D34E75">
        <w:t>Current</w:t>
      </w:r>
      <w:r w:rsidR="00D34E75" w:rsidRPr="0091356F">
        <w:t xml:space="preserve"> systems are designed to meet varying, site-specific user requirements</w:t>
      </w:r>
      <w:r>
        <w:t>,</w:t>
      </w:r>
      <w:r w:rsidR="00D34E75" w:rsidRPr="0091356F">
        <w:t xml:space="preserve"> </w:t>
      </w:r>
      <w:r>
        <w:t xml:space="preserve">which </w:t>
      </w:r>
      <w:r w:rsidR="00D34E75" w:rsidRPr="0091356F">
        <w:t>rang</w:t>
      </w:r>
      <w:r>
        <w:t xml:space="preserve">e </w:t>
      </w:r>
      <w:r w:rsidR="00F92F59" w:rsidRPr="0091356F">
        <w:t>from technology demonstration units</w:t>
      </w:r>
      <w:r w:rsidR="00F92F59">
        <w:t xml:space="preserve"> and</w:t>
      </w:r>
      <w:r w:rsidR="00F92F59" w:rsidRPr="0091356F">
        <w:t xml:space="preserve"> vitrification of </w:t>
      </w:r>
      <w:r w:rsidR="00F92F59">
        <w:t>municipal solid waste (</w:t>
      </w:r>
      <w:r w:rsidR="00F92F59" w:rsidRPr="0091356F">
        <w:t>MSW</w:t>
      </w:r>
      <w:r w:rsidR="00F92F59">
        <w:t>)</w:t>
      </w:r>
      <w:r w:rsidR="00F92F59" w:rsidRPr="0091356F">
        <w:t xml:space="preserve"> </w:t>
      </w:r>
      <w:r w:rsidR="00F92F59" w:rsidRPr="00A57C76">
        <w:t>incinerator bottom ash</w:t>
      </w:r>
      <w:r w:rsidR="00D34E75" w:rsidRPr="00A57C76">
        <w:t xml:space="preserve"> to the production of syngas for electricity generation. Compared to non-plasma methods</w:t>
      </w:r>
      <w:r w:rsidR="00D34E75" w:rsidRPr="00DF569A">
        <w:rPr>
          <w:bCs/>
        </w:rPr>
        <w:t xml:space="preserve"> the advantages of plasma waste treatment can be summarized as follows:</w:t>
      </w:r>
    </w:p>
    <w:p w14:paraId="6113930A" w14:textId="549997A6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The energy for gasification is supplied by plasma rather than energy </w:t>
      </w:r>
      <w:r w:rsidR="00EC6268" w:rsidRPr="006122E7">
        <w:rPr>
          <w:b w:val="0"/>
          <w:bCs w:val="0"/>
        </w:rPr>
        <w:t xml:space="preserve">released </w:t>
      </w:r>
      <w:r w:rsidRPr="006122E7">
        <w:rPr>
          <w:b w:val="0"/>
          <w:bCs w:val="0"/>
        </w:rPr>
        <w:t xml:space="preserve">from </w:t>
      </w:r>
      <w:r w:rsidR="00F92F59" w:rsidRPr="006122E7">
        <w:rPr>
          <w:b w:val="0"/>
          <w:bCs w:val="0"/>
        </w:rPr>
        <w:t>combustion and</w:t>
      </w:r>
      <w:r w:rsidRPr="006122E7">
        <w:rPr>
          <w:b w:val="0"/>
          <w:bCs w:val="0"/>
        </w:rPr>
        <w:t xml:space="preserve"> </w:t>
      </w:r>
      <w:r w:rsidR="00EC6268" w:rsidRPr="006122E7">
        <w:rPr>
          <w:b w:val="0"/>
          <w:bCs w:val="0"/>
        </w:rPr>
        <w:t xml:space="preserve">is </w:t>
      </w:r>
      <w:r w:rsidRPr="006122E7">
        <w:rPr>
          <w:b w:val="0"/>
          <w:bCs w:val="0"/>
        </w:rPr>
        <w:t xml:space="preserve">therefore independent of substances used, </w:t>
      </w:r>
      <w:r w:rsidR="00EC6268" w:rsidRPr="006122E7">
        <w:rPr>
          <w:b w:val="0"/>
          <w:bCs w:val="0"/>
        </w:rPr>
        <w:t xml:space="preserve">to </w:t>
      </w:r>
      <w:r w:rsidRPr="006122E7">
        <w:rPr>
          <w:b w:val="0"/>
          <w:bCs w:val="0"/>
        </w:rPr>
        <w:t>provid</w:t>
      </w:r>
      <w:r w:rsidR="00EC6268" w:rsidRPr="006122E7">
        <w:rPr>
          <w:b w:val="0"/>
          <w:bCs w:val="0"/>
        </w:rPr>
        <w:t>e</w:t>
      </w:r>
      <w:r w:rsidRPr="006122E7">
        <w:rPr>
          <w:b w:val="0"/>
          <w:bCs w:val="0"/>
        </w:rPr>
        <w:t xml:space="preserve"> flexibility, fast control over the process, and more options in the chemistry of the process. A broad range of waste feedstock can be used for gasification.</w:t>
      </w:r>
    </w:p>
    <w:p w14:paraId="46FCC1D2" w14:textId="0DBFFABD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No combustion gases </w:t>
      </w:r>
      <w:r w:rsidR="00EC6268" w:rsidRPr="006122E7">
        <w:rPr>
          <w:b w:val="0"/>
          <w:bCs w:val="0"/>
        </w:rPr>
        <w:t xml:space="preserve">are produced typically </w:t>
      </w:r>
      <w:r w:rsidRPr="006122E7">
        <w:rPr>
          <w:b w:val="0"/>
          <w:bCs w:val="0"/>
        </w:rPr>
        <w:t xml:space="preserve">generated in conventional autothermal reactors). </w:t>
      </w:r>
    </w:p>
    <w:p w14:paraId="69A4714C" w14:textId="1902D1EB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The temperature in the reactor can be easily </w:t>
      </w:r>
      <w:r w:rsidR="00EC6268" w:rsidRPr="006122E7">
        <w:rPr>
          <w:b w:val="0"/>
          <w:bCs w:val="0"/>
        </w:rPr>
        <w:t xml:space="preserve">regulated </w:t>
      </w:r>
      <w:r w:rsidRPr="006122E7">
        <w:rPr>
          <w:b w:val="0"/>
          <w:bCs w:val="0"/>
        </w:rPr>
        <w:t xml:space="preserve">by controlling plasma power and </w:t>
      </w:r>
      <w:r w:rsidR="00EC6268" w:rsidRPr="006122E7">
        <w:rPr>
          <w:b w:val="0"/>
          <w:bCs w:val="0"/>
        </w:rPr>
        <w:t xml:space="preserve">the </w:t>
      </w:r>
      <w:r w:rsidRPr="006122E7">
        <w:rPr>
          <w:b w:val="0"/>
          <w:bCs w:val="0"/>
        </w:rPr>
        <w:t>material feed rate.</w:t>
      </w:r>
    </w:p>
    <w:p w14:paraId="649B72E8" w14:textId="1C3BF320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As sufficiently high temperatures and homogeneous temperature distribution can be easily maintained in the entire reactor, production of higher hydrocarbons, tars, and other complex molecules </w:t>
      </w:r>
      <w:r w:rsidR="00FE1816" w:rsidRPr="006122E7">
        <w:rPr>
          <w:b w:val="0"/>
          <w:bCs w:val="0"/>
        </w:rPr>
        <w:t xml:space="preserve">are </w:t>
      </w:r>
      <w:r w:rsidRPr="006122E7">
        <w:rPr>
          <w:b w:val="0"/>
          <w:bCs w:val="0"/>
        </w:rPr>
        <w:t>substantially reduced.</w:t>
      </w:r>
    </w:p>
    <w:p w14:paraId="3A94299D" w14:textId="42EAC26E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High energy density and high heat transfer efficiency can be achieved, </w:t>
      </w:r>
      <w:r w:rsidR="00FE1816" w:rsidRPr="006122E7">
        <w:rPr>
          <w:b w:val="0"/>
          <w:bCs w:val="0"/>
        </w:rPr>
        <w:t xml:space="preserve">by </w:t>
      </w:r>
      <w:r w:rsidRPr="006122E7">
        <w:rPr>
          <w:b w:val="0"/>
          <w:bCs w:val="0"/>
        </w:rPr>
        <w:t>allowing shorter residence times and increased throughput.</w:t>
      </w:r>
    </w:p>
    <w:p w14:paraId="610D4520" w14:textId="03A7442B" w:rsidR="00D34E75" w:rsidRPr="006122E7" w:rsidRDefault="00F92F59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>Highly</w:t>
      </w:r>
      <w:r w:rsidR="00D34E75" w:rsidRPr="006122E7">
        <w:rPr>
          <w:b w:val="0"/>
          <w:bCs w:val="0"/>
        </w:rPr>
        <w:t xml:space="preserve"> reactive environment and easy control of the composition of reaction products.</w:t>
      </w:r>
    </w:p>
    <w:p w14:paraId="5521B557" w14:textId="77777777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Low thermal inertia and easy feedback control. </w:t>
      </w:r>
    </w:p>
    <w:p w14:paraId="0936A6D9" w14:textId="685704A5" w:rsidR="00D34E75" w:rsidRPr="006122E7" w:rsidRDefault="00D34E75" w:rsidP="006122E7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</w:rPr>
      </w:pPr>
      <w:r w:rsidRPr="006122E7">
        <w:rPr>
          <w:b w:val="0"/>
          <w:bCs w:val="0"/>
        </w:rPr>
        <w:t xml:space="preserve">Much lower plasma gas input is required per a heating power unit than in non-plasma reactors, and therefore energy necessary to heat the plasma to reaction temperature is low; </w:t>
      </w:r>
      <w:r w:rsidR="00F92F59" w:rsidRPr="006122E7">
        <w:rPr>
          <w:b w:val="0"/>
          <w:bCs w:val="0"/>
        </w:rPr>
        <w:t>also,</w:t>
      </w:r>
      <w:r w:rsidRPr="006122E7">
        <w:rPr>
          <w:b w:val="0"/>
          <w:bCs w:val="0"/>
        </w:rPr>
        <w:t xml:space="preserve"> the </w:t>
      </w:r>
      <w:r w:rsidR="00F92F59" w:rsidRPr="006122E7">
        <w:rPr>
          <w:b w:val="0"/>
          <w:bCs w:val="0"/>
        </w:rPr>
        <w:t>number</w:t>
      </w:r>
      <w:r w:rsidRPr="006122E7">
        <w:rPr>
          <w:b w:val="0"/>
          <w:bCs w:val="0"/>
        </w:rPr>
        <w:t xml:space="preserve"> of gases diluting the syngas produced is lower.</w:t>
      </w:r>
    </w:p>
    <w:p w14:paraId="10AB76F3" w14:textId="77777777" w:rsidR="00D34E75" w:rsidRPr="006122E7" w:rsidRDefault="00D34E75" w:rsidP="006122E7">
      <w:pPr>
        <w:pStyle w:val="ListParagraph"/>
        <w:numPr>
          <w:ilvl w:val="0"/>
          <w:numId w:val="6"/>
        </w:numPr>
        <w:spacing w:after="0" w:line="360" w:lineRule="auto"/>
        <w:rPr>
          <w:b w:val="0"/>
          <w:bCs w:val="0"/>
        </w:rPr>
      </w:pPr>
      <w:r w:rsidRPr="006122E7">
        <w:rPr>
          <w:b w:val="0"/>
          <w:bCs w:val="0"/>
        </w:rPr>
        <w:t>High energy densities, lower gas flows, and volume reduction enable use of plants that are smaller in size than non-plasma reactors.</w:t>
      </w:r>
    </w:p>
    <w:p w14:paraId="1CFF10E3" w14:textId="77777777" w:rsidR="00D34E75" w:rsidRPr="00FE635B" w:rsidRDefault="00D34E75" w:rsidP="006122E7">
      <w:pPr>
        <w:spacing w:after="0"/>
      </w:pPr>
    </w:p>
    <w:p w14:paraId="00378852" w14:textId="0E806B33" w:rsidR="00D34E75" w:rsidRPr="00571E7D" w:rsidRDefault="006122E7" w:rsidP="006122E7">
      <w:pPr>
        <w:pStyle w:val="ListParagraph"/>
        <w:rPr>
          <w:i/>
        </w:rPr>
      </w:pPr>
      <w:r w:rsidRPr="00571E7D">
        <w:t>VALUE CHARACTERISTICS</w:t>
      </w:r>
    </w:p>
    <w:p w14:paraId="49FA478D" w14:textId="73B92527" w:rsidR="00D34E75" w:rsidRDefault="00D34E75" w:rsidP="006122E7">
      <w:pPr>
        <w:spacing w:before="240" w:line="360" w:lineRule="auto"/>
        <w:ind w:left="66"/>
      </w:pPr>
      <w:r w:rsidRPr="00366CFD">
        <w:t>The waste treatment product in question is a small scale (</w:t>
      </w:r>
      <w:r>
        <w:t xml:space="preserve">up to </w:t>
      </w:r>
      <w:r w:rsidR="00F92F59">
        <w:t>fifteen</w:t>
      </w:r>
      <w:r w:rsidRPr="00366CFD">
        <w:t xml:space="preserve"> tons per day (tpd)) </w:t>
      </w:r>
      <w:r>
        <w:t xml:space="preserve">PlasGas or </w:t>
      </w:r>
      <w:r w:rsidRPr="00366CFD">
        <w:t>PlasW</w:t>
      </w:r>
      <w:r w:rsidR="00FE1816">
        <w:t>e</w:t>
      </w:r>
      <w:r w:rsidRPr="00366CFD">
        <w:t>n</w:t>
      </w:r>
      <w:r>
        <w:t xml:space="preserve">, </w:t>
      </w:r>
      <w:r w:rsidR="00F92F59">
        <w:t>which</w:t>
      </w:r>
      <w:r>
        <w:t xml:space="preserve"> uses waste</w:t>
      </w:r>
      <w:r w:rsidRPr="00366CFD">
        <w:t xml:space="preserve"> as feed material to produce </w:t>
      </w:r>
      <w:r>
        <w:t xml:space="preserve">syngas that is capable to be converted into </w:t>
      </w:r>
      <w:r w:rsidR="009D1785">
        <w:t xml:space="preserve">energy products such as electricity, fuel, hydrogen, </w:t>
      </w:r>
      <w:proofErr w:type="gramStart"/>
      <w:r w:rsidR="009D1785">
        <w:t>heat</w:t>
      </w:r>
      <w:proofErr w:type="gramEnd"/>
      <w:r w:rsidR="00571E7D">
        <w:t xml:space="preserve"> or </w:t>
      </w:r>
      <w:r w:rsidR="009D1785">
        <w:t>steam, etc</w:t>
      </w:r>
      <w:r w:rsidRPr="00366CFD">
        <w:t xml:space="preserve">. </w:t>
      </w:r>
      <w:r w:rsidR="009D1785">
        <w:t>If electricity is generated, this can be used</w:t>
      </w:r>
      <w:r w:rsidRPr="00366CFD">
        <w:t xml:space="preserve"> </w:t>
      </w:r>
      <w:r w:rsidR="00571E7D">
        <w:t xml:space="preserve">as auxiliary power </w:t>
      </w:r>
      <w:r w:rsidRPr="00366CFD">
        <w:t xml:space="preserve">to sustain </w:t>
      </w:r>
      <w:r w:rsidR="009D1785">
        <w:t>the plant. In addition, t</w:t>
      </w:r>
      <w:r w:rsidRPr="00366CFD">
        <w:t>he system will have spare capacity of electricity</w:t>
      </w:r>
      <w:r w:rsidR="00571E7D">
        <w:t>,</w:t>
      </w:r>
      <w:r w:rsidRPr="00366CFD">
        <w:t xml:space="preserve"> to use elsewhere</w:t>
      </w:r>
      <w:r w:rsidR="00571E7D">
        <w:t>,</w:t>
      </w:r>
      <w:r w:rsidRPr="00366CFD">
        <w:t xml:space="preserve"> depending on the scale of operation. The larger the system, proportionally the more electricity</w:t>
      </w:r>
      <w:r w:rsidR="00571E7D">
        <w:t>, which can be sold as green energy</w:t>
      </w:r>
      <w:r w:rsidRPr="00366CFD">
        <w:t xml:space="preserve">. Another </w:t>
      </w:r>
      <w:r w:rsidR="00571E7D">
        <w:t xml:space="preserve">saleable </w:t>
      </w:r>
      <w:r w:rsidRPr="00366CFD">
        <w:t xml:space="preserve">product </w:t>
      </w:r>
      <w:proofErr w:type="gramStart"/>
      <w:r w:rsidRPr="00366CFD">
        <w:t>is  molten</w:t>
      </w:r>
      <w:proofErr w:type="gramEnd"/>
      <w:r w:rsidRPr="00366CFD">
        <w:t xml:space="preserve"> </w:t>
      </w:r>
      <w:r>
        <w:t>slag</w:t>
      </w:r>
      <w:r w:rsidRPr="00366CFD">
        <w:t xml:space="preserve"> </w:t>
      </w:r>
      <w:r w:rsidR="00571E7D">
        <w:t xml:space="preserve">which </w:t>
      </w:r>
      <w:r w:rsidRPr="00366CFD">
        <w:t>originat</w:t>
      </w:r>
      <w:r w:rsidR="00571E7D">
        <w:t>es</w:t>
      </w:r>
      <w:r w:rsidRPr="00366CFD">
        <w:t xml:space="preserve"> from the feed material.</w:t>
      </w:r>
      <w:r w:rsidR="006122E7">
        <w:t xml:space="preserve"> h</w:t>
      </w:r>
      <w:r w:rsidRPr="00366CFD">
        <w:t xml:space="preserve">eat for the gasification process is partially supplied by </w:t>
      </w:r>
      <w:r w:rsidR="00F92F59" w:rsidRPr="00366CFD">
        <w:t>an elevated temperature</w:t>
      </w:r>
      <w:r w:rsidRPr="00366CFD">
        <w:t xml:space="preserve"> “plasma-arc” torch and partially by chemical energy produced by the gasification reactions.</w:t>
      </w:r>
    </w:p>
    <w:p w14:paraId="2197CAB6" w14:textId="3FA3F4A2" w:rsidR="00D34E75" w:rsidRPr="00366CFD" w:rsidRDefault="006122E7" w:rsidP="004A5CED">
      <w:pPr>
        <w:spacing w:before="240"/>
        <w:ind w:left="66"/>
        <w:rPr>
          <w:b/>
        </w:rPr>
      </w:pPr>
      <w:r>
        <w:rPr>
          <w:b/>
        </w:rPr>
        <w:t xml:space="preserve">3.1 </w:t>
      </w:r>
      <w:r w:rsidR="00D34E75" w:rsidRPr="00366CFD">
        <w:rPr>
          <w:b/>
        </w:rPr>
        <w:t xml:space="preserve">Conversion </w:t>
      </w:r>
      <w:r w:rsidR="00571E7D" w:rsidRPr="00366CFD">
        <w:rPr>
          <w:b/>
        </w:rPr>
        <w:t>Efficiency</w:t>
      </w:r>
    </w:p>
    <w:p w14:paraId="0E3684A9" w14:textId="1D362019" w:rsidR="00D34E75" w:rsidRPr="00366CFD" w:rsidRDefault="00D34E75" w:rsidP="006122E7">
      <w:pPr>
        <w:spacing w:before="240" w:line="360" w:lineRule="auto"/>
        <w:ind w:left="66"/>
        <w:rPr>
          <w:b/>
        </w:rPr>
      </w:pPr>
      <w:r w:rsidRPr="00700C04">
        <w:t xml:space="preserve">The higher temperature in the gasification chamber (1 000 – 1 500 ˚C for plasma gasification vs 540 – 1 000 ˚C for other technologies) results in </w:t>
      </w:r>
      <w:r>
        <w:t>a better conversion of waste into syngas. Plasma arc gasification (86%) has the highest conversion efficiency followed by conventional gasification (69%), pyrolysis (57%) and incineration (54%).</w:t>
      </w:r>
      <w:r w:rsidR="00FE1816">
        <w:t xml:space="preserve"> </w:t>
      </w:r>
      <w:r w:rsidRPr="00366CFD">
        <w:rPr>
          <w:b/>
        </w:rPr>
        <w:t xml:space="preserve">Plasma </w:t>
      </w:r>
      <w:r w:rsidR="00571E7D" w:rsidRPr="00366CFD">
        <w:rPr>
          <w:b/>
        </w:rPr>
        <w:t>Torch</w:t>
      </w:r>
    </w:p>
    <w:p w14:paraId="5C8C067C" w14:textId="4C813D00" w:rsidR="00D34E75" w:rsidRDefault="00D34E75" w:rsidP="006122E7">
      <w:pPr>
        <w:spacing w:before="240" w:line="360" w:lineRule="auto"/>
        <w:ind w:left="66"/>
      </w:pPr>
      <w:r>
        <w:t xml:space="preserve">Plasma gasifiers makes use of a plasma arc torch as the primary heat source. The plasma torch forms a tail-flame which is directed into the gasification reactor and ranges in temperature from 2 000 to 7 000 ˚C. This releases a high amount of energy in a </w:t>
      </w:r>
      <w:r w:rsidR="00F92F59">
        <w:t>small</w:t>
      </w:r>
      <w:r>
        <w:t xml:space="preserve"> space. The plasma temperature also produces highly active radical species which helps with the gasification process. Conventional thermal processes (as mentioned above) </w:t>
      </w:r>
      <w:r w:rsidR="00F92F59">
        <w:t>use</w:t>
      </w:r>
      <w:r>
        <w:t xml:space="preserve"> natural gas, LPG gas, </w:t>
      </w:r>
      <w:r w:rsidR="00F92F59">
        <w:t>diesel,</w:t>
      </w:r>
      <w:r>
        <w:t xml:space="preserve"> or oil burners as a heat source. The temperature of these flames </w:t>
      </w:r>
      <w:r w:rsidR="00F92F59">
        <w:t>is</w:t>
      </w:r>
      <w:r>
        <w:t xml:space="preserve"> at most 1 300 to 2 100 ˚C. The higher plasma temperature results in a more complete gasification, leading to higher efficiency as explained above.</w:t>
      </w:r>
    </w:p>
    <w:p w14:paraId="02E19AA4" w14:textId="20DE116A" w:rsidR="00D34E75" w:rsidRPr="00366CFD" w:rsidRDefault="006122E7" w:rsidP="004A5CED">
      <w:pPr>
        <w:spacing w:before="240"/>
        <w:ind w:left="0"/>
        <w:rPr>
          <w:b/>
        </w:rPr>
      </w:pPr>
      <w:r>
        <w:rPr>
          <w:b/>
        </w:rPr>
        <w:t xml:space="preserve">3.2 </w:t>
      </w:r>
      <w:r w:rsidR="00D34E75" w:rsidRPr="00366CFD">
        <w:rPr>
          <w:b/>
        </w:rPr>
        <w:t xml:space="preserve">Plasma </w:t>
      </w:r>
      <w:r w:rsidR="00571E7D" w:rsidRPr="00366CFD">
        <w:rPr>
          <w:b/>
        </w:rPr>
        <w:t>Reactor Design</w:t>
      </w:r>
    </w:p>
    <w:p w14:paraId="23F64605" w14:textId="5813A6CF" w:rsidR="00D34E75" w:rsidRDefault="00D34E75" w:rsidP="004A5CED">
      <w:pPr>
        <w:spacing w:before="240"/>
        <w:ind w:left="0"/>
      </w:pPr>
      <w:r>
        <w:t xml:space="preserve">Due to the high energy density of the plasma tail flame, the dimensions of a plasma gasification reactor </w:t>
      </w:r>
      <w:r w:rsidR="00F92F59">
        <w:t>are</w:t>
      </w:r>
      <w:r>
        <w:t xml:space="preserve"> smaller than conventional processes. In </w:t>
      </w:r>
      <w:r w:rsidR="00F92F59">
        <w:t>addition,</w:t>
      </w:r>
      <w:r>
        <w:t xml:space="preserve"> the plasma gasification reactor may also be equipped with a tapping section for molten metals and ash.</w:t>
      </w:r>
    </w:p>
    <w:p w14:paraId="39E8E963" w14:textId="223C7B43" w:rsidR="00D34E75" w:rsidRPr="00366CFD" w:rsidRDefault="006122E7" w:rsidP="00305025">
      <w:pPr>
        <w:spacing w:before="240" w:line="360" w:lineRule="auto"/>
        <w:ind w:left="0"/>
        <w:rPr>
          <w:b/>
        </w:rPr>
      </w:pPr>
      <w:r>
        <w:rPr>
          <w:b/>
        </w:rPr>
        <w:t xml:space="preserve">3.4 </w:t>
      </w:r>
      <w:r w:rsidR="00D34E75" w:rsidRPr="00366CFD">
        <w:rPr>
          <w:b/>
        </w:rPr>
        <w:t xml:space="preserve">Air </w:t>
      </w:r>
      <w:r w:rsidR="00571E7D" w:rsidRPr="00366CFD">
        <w:rPr>
          <w:b/>
        </w:rPr>
        <w:t>Pollutants Reduction</w:t>
      </w:r>
    </w:p>
    <w:p w14:paraId="374E54F4" w14:textId="2F0593E2" w:rsidR="00D34E75" w:rsidRDefault="00D34E75" w:rsidP="004A5CED">
      <w:pPr>
        <w:ind w:left="0"/>
      </w:pPr>
      <w:r w:rsidRPr="00700C04">
        <w:t>The higher gasification temperature minimizes air pollutants (</w:t>
      </w:r>
      <w:r w:rsidR="00F92F59" w:rsidRPr="00700C04">
        <w:t>e.g.,</w:t>
      </w:r>
      <w:r w:rsidRPr="00700C04">
        <w:t xml:space="preserve"> furans, dioxins, NOx, SOx and HCl emissions) to levels well below those of the other methods. </w:t>
      </w:r>
      <w:r w:rsidR="00EC6268">
        <w:t xml:space="preserve">Table 2 </w:t>
      </w:r>
      <w:r>
        <w:t>compares air pollution from different technologies</w:t>
      </w:r>
      <w:r w:rsidR="00EC6268">
        <w:t xml:space="preserve"> </w:t>
      </w:r>
    </w:p>
    <w:p w14:paraId="6D12A986" w14:textId="622BA66B" w:rsidR="00EC6268" w:rsidRDefault="00EC6268" w:rsidP="00D34E75"/>
    <w:p w14:paraId="3F9C459E" w14:textId="5994AE69" w:rsidR="00EC6268" w:rsidRPr="006122E7" w:rsidRDefault="006122E7" w:rsidP="006122E7">
      <w:pPr>
        <w:pStyle w:val="Caption"/>
        <w:jc w:val="center"/>
        <w:rPr>
          <w:b/>
          <w:bCs/>
          <w:i w:val="0"/>
          <w:iCs w:val="0"/>
          <w:sz w:val="20"/>
          <w:szCs w:val="20"/>
        </w:rPr>
      </w:pPr>
      <w:r w:rsidRPr="006122E7">
        <w:rPr>
          <w:b/>
          <w:bCs/>
          <w:i w:val="0"/>
          <w:iCs w:val="0"/>
          <w:sz w:val="20"/>
          <w:szCs w:val="20"/>
        </w:rPr>
        <w:t xml:space="preserve">Table </w:t>
      </w:r>
      <w:r w:rsidRPr="006122E7">
        <w:rPr>
          <w:b/>
          <w:bCs/>
          <w:i w:val="0"/>
          <w:iCs w:val="0"/>
          <w:sz w:val="20"/>
          <w:szCs w:val="20"/>
        </w:rPr>
        <w:fldChar w:fldCharType="begin"/>
      </w:r>
      <w:r w:rsidRPr="006122E7">
        <w:rPr>
          <w:b/>
          <w:bCs/>
          <w:i w:val="0"/>
          <w:iCs w:val="0"/>
          <w:sz w:val="20"/>
          <w:szCs w:val="20"/>
        </w:rPr>
        <w:instrText xml:space="preserve"> SEQ Table \* ARABIC </w:instrText>
      </w:r>
      <w:r w:rsidRPr="006122E7">
        <w:rPr>
          <w:b/>
          <w:bCs/>
          <w:i w:val="0"/>
          <w:iCs w:val="0"/>
          <w:sz w:val="20"/>
          <w:szCs w:val="20"/>
        </w:rPr>
        <w:fldChar w:fldCharType="separate"/>
      </w:r>
      <w:r w:rsidRPr="006122E7">
        <w:rPr>
          <w:b/>
          <w:bCs/>
          <w:i w:val="0"/>
          <w:iCs w:val="0"/>
          <w:noProof/>
          <w:sz w:val="20"/>
          <w:szCs w:val="20"/>
        </w:rPr>
        <w:t>1</w:t>
      </w:r>
      <w:r w:rsidRPr="006122E7">
        <w:rPr>
          <w:b/>
          <w:bCs/>
          <w:i w:val="0"/>
          <w:iCs w:val="0"/>
          <w:sz w:val="20"/>
          <w:szCs w:val="20"/>
        </w:rPr>
        <w:fldChar w:fldCharType="end"/>
      </w:r>
      <w:r w:rsidR="00EC6268" w:rsidRPr="006122E7">
        <w:rPr>
          <w:b/>
          <w:bCs/>
          <w:i w:val="0"/>
          <w:iCs w:val="0"/>
          <w:sz w:val="20"/>
          <w:szCs w:val="20"/>
        </w:rPr>
        <w:t>: Comparison of Air Pollution from Various Technologies.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2055"/>
        <w:gridCol w:w="1862"/>
        <w:gridCol w:w="1772"/>
        <w:gridCol w:w="1793"/>
      </w:tblGrid>
      <w:tr w:rsidR="006122E7" w:rsidRPr="006122E7" w14:paraId="6C33B592" w14:textId="77777777" w:rsidTr="00305025">
        <w:trPr>
          <w:trHeight w:val="315"/>
          <w:tblHeader/>
        </w:trPr>
        <w:tc>
          <w:tcPr>
            <w:tcW w:w="860" w:type="pct"/>
            <w:shd w:val="clear" w:color="auto" w:fill="2F5496" w:themeFill="accent5" w:themeFillShade="BF"/>
            <w:noWrap/>
            <w:hideMark/>
          </w:tcPr>
          <w:p w14:paraId="52B44988" w14:textId="77777777" w:rsidR="00D34E75" w:rsidRPr="006122E7" w:rsidRDefault="00D34E75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Component</w:t>
            </w:r>
          </w:p>
          <w:p w14:paraId="531DF440" w14:textId="3A546505" w:rsidR="00FE1816" w:rsidRPr="006122E7" w:rsidRDefault="00FE1816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02" w:type="pct"/>
            <w:shd w:val="clear" w:color="auto" w:fill="2F5496" w:themeFill="accent5" w:themeFillShade="BF"/>
            <w:noWrap/>
            <w:hideMark/>
          </w:tcPr>
          <w:p w14:paraId="3F300C66" w14:textId="77777777" w:rsidR="00D34E75" w:rsidRPr="006122E7" w:rsidRDefault="00D34E75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Plasma</w:t>
            </w:r>
          </w:p>
          <w:p w14:paraId="31587408" w14:textId="507B8AAF" w:rsidR="00D34E75" w:rsidRPr="006122E7" w:rsidRDefault="00571E7D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Gasification</w:t>
            </w:r>
          </w:p>
        </w:tc>
        <w:tc>
          <w:tcPr>
            <w:tcW w:w="1042" w:type="pct"/>
            <w:shd w:val="clear" w:color="auto" w:fill="2F5496" w:themeFill="accent5" w:themeFillShade="BF"/>
            <w:noWrap/>
            <w:hideMark/>
          </w:tcPr>
          <w:p w14:paraId="29681B9E" w14:textId="77777777" w:rsidR="00D34E75" w:rsidRPr="006122E7" w:rsidRDefault="00D34E75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Conventional</w:t>
            </w:r>
          </w:p>
          <w:p w14:paraId="19F84588" w14:textId="24888C93" w:rsidR="00D34E75" w:rsidRPr="006122E7" w:rsidRDefault="00571E7D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Gasification</w:t>
            </w:r>
          </w:p>
        </w:tc>
        <w:tc>
          <w:tcPr>
            <w:tcW w:w="992" w:type="pct"/>
            <w:shd w:val="clear" w:color="auto" w:fill="2F5496" w:themeFill="accent5" w:themeFillShade="BF"/>
          </w:tcPr>
          <w:p w14:paraId="649030AB" w14:textId="77777777" w:rsidR="00D34E75" w:rsidRPr="006122E7" w:rsidRDefault="00D34E75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Pyrolysis</w:t>
            </w:r>
          </w:p>
        </w:tc>
        <w:tc>
          <w:tcPr>
            <w:tcW w:w="1003" w:type="pct"/>
            <w:shd w:val="clear" w:color="auto" w:fill="2F5496" w:themeFill="accent5" w:themeFillShade="BF"/>
          </w:tcPr>
          <w:p w14:paraId="0AA80E27" w14:textId="77777777" w:rsidR="00D34E75" w:rsidRPr="006122E7" w:rsidRDefault="00D34E75" w:rsidP="004A5CED">
            <w:pPr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122E7">
              <w:rPr>
                <w:b/>
                <w:bCs/>
                <w:color w:val="FFFFFF" w:themeColor="background1"/>
              </w:rPr>
              <w:t>Incineration</w:t>
            </w:r>
          </w:p>
        </w:tc>
      </w:tr>
      <w:tr w:rsidR="00D34E75" w:rsidRPr="006122E7" w14:paraId="0A7C8A73" w14:textId="77777777" w:rsidTr="00305025">
        <w:trPr>
          <w:trHeight w:val="300"/>
        </w:trPr>
        <w:tc>
          <w:tcPr>
            <w:tcW w:w="860" w:type="pct"/>
            <w:noWrap/>
            <w:hideMark/>
          </w:tcPr>
          <w:p w14:paraId="16C9A637" w14:textId="77777777" w:rsidR="00D34E75" w:rsidRPr="006122E7" w:rsidRDefault="00D34E75" w:rsidP="009D3261">
            <w:pPr>
              <w:ind w:left="0"/>
              <w:rPr>
                <w:b/>
                <w:bCs/>
                <w:color w:val="000000"/>
              </w:rPr>
            </w:pPr>
            <w:r w:rsidRPr="006122E7">
              <w:rPr>
                <w:b/>
                <w:bCs/>
                <w:color w:val="000000"/>
              </w:rPr>
              <w:t>Particulate</w:t>
            </w:r>
          </w:p>
        </w:tc>
        <w:tc>
          <w:tcPr>
            <w:tcW w:w="1102" w:type="pct"/>
            <w:noWrap/>
            <w:hideMark/>
          </w:tcPr>
          <w:p w14:paraId="50FA4F57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&lt; 3.5 ppm</w:t>
            </w:r>
          </w:p>
        </w:tc>
        <w:tc>
          <w:tcPr>
            <w:tcW w:w="1042" w:type="pct"/>
            <w:noWrap/>
          </w:tcPr>
          <w:p w14:paraId="2DC2A1C3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12 ppm</w:t>
            </w:r>
            <w:r w:rsidRPr="006122E7" w:rsidDel="006F581F">
              <w:rPr>
                <w:color w:val="000000"/>
              </w:rPr>
              <w:t xml:space="preserve"> </w:t>
            </w:r>
          </w:p>
        </w:tc>
        <w:tc>
          <w:tcPr>
            <w:tcW w:w="992" w:type="pct"/>
            <w:vMerge w:val="restart"/>
          </w:tcPr>
          <w:p w14:paraId="1EC4718F" w14:textId="0407052B" w:rsidR="00D34E75" w:rsidRPr="006122E7" w:rsidRDefault="00F92F59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  <w:bdr w:val="single" w:sz="4" w:space="0" w:color="auto"/>
              </w:rPr>
              <w:t>Forty percent</w:t>
            </w:r>
            <w:r w:rsidR="00D34E75" w:rsidRPr="006122E7">
              <w:rPr>
                <w:color w:val="000000"/>
                <w:bdr w:val="single" w:sz="4" w:space="0" w:color="auto"/>
              </w:rPr>
              <w:t xml:space="preserve"> coke and 60 % gas</w:t>
            </w:r>
            <w:r w:rsidR="00D34E75" w:rsidRPr="006122E7">
              <w:rPr>
                <w:color w:val="000000"/>
              </w:rPr>
              <w:t xml:space="preserve"> (CO, CO</w:t>
            </w:r>
            <w:r w:rsidR="00D34E75" w:rsidRPr="006122E7">
              <w:rPr>
                <w:color w:val="000000"/>
                <w:vertAlign w:val="subscript"/>
              </w:rPr>
              <w:t>2</w:t>
            </w:r>
            <w:r w:rsidR="00D34E75" w:rsidRPr="006122E7">
              <w:rPr>
                <w:color w:val="000000"/>
              </w:rPr>
              <w:t>, CH</w:t>
            </w:r>
            <w:r w:rsidR="00D34E75" w:rsidRPr="006122E7">
              <w:rPr>
                <w:color w:val="000000"/>
                <w:vertAlign w:val="subscript"/>
              </w:rPr>
              <w:t>4</w:t>
            </w:r>
            <w:r w:rsidR="00D34E75" w:rsidRPr="006122E7">
              <w:rPr>
                <w:color w:val="000000"/>
              </w:rPr>
              <w:t>, C</w:t>
            </w:r>
            <w:r w:rsidR="00D34E75" w:rsidRPr="006122E7">
              <w:rPr>
                <w:color w:val="000000"/>
                <w:vertAlign w:val="subscript"/>
              </w:rPr>
              <w:t>2</w:t>
            </w:r>
            <w:r w:rsidR="00D34E75" w:rsidRPr="006122E7">
              <w:rPr>
                <w:color w:val="000000"/>
              </w:rPr>
              <w:t>H</w:t>
            </w:r>
            <w:r w:rsidR="00D34E75" w:rsidRPr="006122E7">
              <w:rPr>
                <w:color w:val="000000"/>
                <w:vertAlign w:val="subscript"/>
              </w:rPr>
              <w:t>6</w:t>
            </w:r>
            <w:r w:rsidR="00D34E75" w:rsidRPr="006122E7">
              <w:rPr>
                <w:color w:val="000000"/>
              </w:rPr>
              <w:t>, C</w:t>
            </w:r>
            <w:r w:rsidR="00D34E75" w:rsidRPr="006122E7">
              <w:rPr>
                <w:color w:val="000000"/>
                <w:vertAlign w:val="subscript"/>
              </w:rPr>
              <w:t>2</w:t>
            </w:r>
            <w:r w:rsidR="00D34E75" w:rsidRPr="006122E7">
              <w:rPr>
                <w:color w:val="000000"/>
              </w:rPr>
              <w:t>H</w:t>
            </w:r>
            <w:r w:rsidR="00D34E75" w:rsidRPr="006122E7">
              <w:rPr>
                <w:color w:val="000000"/>
                <w:vertAlign w:val="subscript"/>
              </w:rPr>
              <w:t>4</w:t>
            </w:r>
            <w:r w:rsidR="00D34E75" w:rsidRPr="006122E7">
              <w:rPr>
                <w:color w:val="000000"/>
              </w:rPr>
              <w:t xml:space="preserve"> H</w:t>
            </w:r>
            <w:r w:rsidR="00D34E75" w:rsidRPr="006122E7">
              <w:rPr>
                <w:color w:val="000000"/>
                <w:vertAlign w:val="subscript"/>
              </w:rPr>
              <w:t>2</w:t>
            </w:r>
            <w:r w:rsidR="00D34E75" w:rsidRPr="006122E7">
              <w:rPr>
                <w:color w:val="000000"/>
              </w:rPr>
              <w:t>) and tar.</w:t>
            </w:r>
          </w:p>
        </w:tc>
        <w:tc>
          <w:tcPr>
            <w:tcW w:w="1003" w:type="pct"/>
          </w:tcPr>
          <w:p w14:paraId="71454BDE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38 - 198 ppm</w:t>
            </w:r>
          </w:p>
        </w:tc>
      </w:tr>
      <w:tr w:rsidR="00D34E75" w:rsidRPr="006122E7" w14:paraId="2CE7591C" w14:textId="77777777" w:rsidTr="00305025">
        <w:trPr>
          <w:trHeight w:val="300"/>
        </w:trPr>
        <w:tc>
          <w:tcPr>
            <w:tcW w:w="860" w:type="pct"/>
            <w:noWrap/>
            <w:hideMark/>
          </w:tcPr>
          <w:p w14:paraId="66D8088F" w14:textId="77777777" w:rsidR="00D34E75" w:rsidRPr="006122E7" w:rsidRDefault="00D34E75" w:rsidP="009D3261">
            <w:pPr>
              <w:ind w:left="0"/>
              <w:rPr>
                <w:b/>
                <w:bCs/>
                <w:color w:val="000000"/>
              </w:rPr>
            </w:pPr>
            <w:r w:rsidRPr="006122E7">
              <w:rPr>
                <w:b/>
                <w:bCs/>
                <w:color w:val="000000"/>
              </w:rPr>
              <w:t xml:space="preserve">HCl </w:t>
            </w:r>
          </w:p>
        </w:tc>
        <w:tc>
          <w:tcPr>
            <w:tcW w:w="1102" w:type="pct"/>
            <w:noWrap/>
            <w:hideMark/>
          </w:tcPr>
          <w:p w14:paraId="08CD4B4A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0.33 ppm</w:t>
            </w:r>
          </w:p>
        </w:tc>
        <w:tc>
          <w:tcPr>
            <w:tcW w:w="1042" w:type="pct"/>
            <w:noWrap/>
          </w:tcPr>
          <w:p w14:paraId="46CE1A98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32 ppm</w:t>
            </w:r>
            <w:r w:rsidRPr="006122E7" w:rsidDel="006F581F">
              <w:rPr>
                <w:color w:val="000000"/>
              </w:rPr>
              <w:t xml:space="preserve"> </w:t>
            </w:r>
          </w:p>
        </w:tc>
        <w:tc>
          <w:tcPr>
            <w:tcW w:w="992" w:type="pct"/>
            <w:vMerge/>
          </w:tcPr>
          <w:p w14:paraId="6BDF0259" w14:textId="77777777" w:rsidR="00D34E75" w:rsidRPr="006122E7" w:rsidRDefault="00D34E75" w:rsidP="009D3261">
            <w:pPr>
              <w:rPr>
                <w:color w:val="000000"/>
              </w:rPr>
            </w:pPr>
          </w:p>
        </w:tc>
        <w:tc>
          <w:tcPr>
            <w:tcW w:w="1003" w:type="pct"/>
          </w:tcPr>
          <w:p w14:paraId="6569F4F5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58 ppm</w:t>
            </w:r>
          </w:p>
        </w:tc>
      </w:tr>
      <w:tr w:rsidR="00D34E75" w:rsidRPr="006122E7" w14:paraId="30C9FC19" w14:textId="77777777" w:rsidTr="00305025">
        <w:trPr>
          <w:trHeight w:val="300"/>
        </w:trPr>
        <w:tc>
          <w:tcPr>
            <w:tcW w:w="860" w:type="pct"/>
            <w:noWrap/>
            <w:hideMark/>
          </w:tcPr>
          <w:p w14:paraId="4252558C" w14:textId="77777777" w:rsidR="00D34E75" w:rsidRPr="006122E7" w:rsidRDefault="00D34E75" w:rsidP="009D3261">
            <w:pPr>
              <w:ind w:left="0"/>
              <w:rPr>
                <w:b/>
                <w:bCs/>
                <w:color w:val="000000"/>
              </w:rPr>
            </w:pPr>
            <w:r w:rsidRPr="006122E7">
              <w:rPr>
                <w:b/>
                <w:bCs/>
                <w:color w:val="000000"/>
              </w:rPr>
              <w:t xml:space="preserve">HF </w:t>
            </w:r>
          </w:p>
        </w:tc>
        <w:tc>
          <w:tcPr>
            <w:tcW w:w="1102" w:type="pct"/>
            <w:noWrap/>
            <w:hideMark/>
          </w:tcPr>
          <w:p w14:paraId="6BA8B58C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&lt; 0.0065 ppm</w:t>
            </w:r>
          </w:p>
        </w:tc>
        <w:tc>
          <w:tcPr>
            <w:tcW w:w="1042" w:type="pct"/>
            <w:noWrap/>
          </w:tcPr>
          <w:p w14:paraId="4249A5F5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0.34 ppm</w:t>
            </w:r>
            <w:r w:rsidRPr="006122E7" w:rsidDel="006F581F">
              <w:rPr>
                <w:color w:val="000000"/>
              </w:rPr>
              <w:t xml:space="preserve"> </w:t>
            </w:r>
          </w:p>
        </w:tc>
        <w:tc>
          <w:tcPr>
            <w:tcW w:w="992" w:type="pct"/>
            <w:vMerge/>
          </w:tcPr>
          <w:p w14:paraId="1E7089A3" w14:textId="77777777" w:rsidR="00D34E75" w:rsidRPr="006122E7" w:rsidRDefault="00D34E75" w:rsidP="009D3261">
            <w:pPr>
              <w:rPr>
                <w:color w:val="000000"/>
              </w:rPr>
            </w:pPr>
          </w:p>
        </w:tc>
        <w:tc>
          <w:tcPr>
            <w:tcW w:w="1003" w:type="pct"/>
          </w:tcPr>
          <w:p w14:paraId="5E5CFFB0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1</w:t>
            </w:r>
          </w:p>
        </w:tc>
      </w:tr>
      <w:tr w:rsidR="00D34E75" w:rsidRPr="006122E7" w14:paraId="3230083E" w14:textId="77777777" w:rsidTr="00305025">
        <w:trPr>
          <w:trHeight w:val="300"/>
        </w:trPr>
        <w:tc>
          <w:tcPr>
            <w:tcW w:w="860" w:type="pct"/>
            <w:noWrap/>
            <w:hideMark/>
          </w:tcPr>
          <w:p w14:paraId="4FD919E8" w14:textId="77777777" w:rsidR="00D34E75" w:rsidRPr="006122E7" w:rsidRDefault="00D34E75" w:rsidP="009D3261">
            <w:pPr>
              <w:ind w:left="0"/>
              <w:rPr>
                <w:b/>
                <w:bCs/>
                <w:color w:val="000000"/>
              </w:rPr>
            </w:pPr>
            <w:r w:rsidRPr="006122E7">
              <w:rPr>
                <w:b/>
                <w:bCs/>
                <w:color w:val="000000"/>
              </w:rPr>
              <w:t>SO</w:t>
            </w:r>
            <w:r w:rsidRPr="006122E7">
              <w:rPr>
                <w:b/>
                <w:bCs/>
                <w:color w:val="000000"/>
                <w:vertAlign w:val="subscript"/>
              </w:rPr>
              <w:t>2</w:t>
            </w:r>
          </w:p>
        </w:tc>
        <w:tc>
          <w:tcPr>
            <w:tcW w:w="1102" w:type="pct"/>
            <w:noWrap/>
            <w:hideMark/>
          </w:tcPr>
          <w:p w14:paraId="56C3B66B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18 ppm</w:t>
            </w:r>
          </w:p>
        </w:tc>
        <w:tc>
          <w:tcPr>
            <w:tcW w:w="1042" w:type="pct"/>
            <w:noWrap/>
          </w:tcPr>
          <w:p w14:paraId="2D39F83F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52 ppm</w:t>
            </w:r>
            <w:r w:rsidRPr="006122E7" w:rsidDel="00FA632B">
              <w:rPr>
                <w:color w:val="000000"/>
              </w:rPr>
              <w:t xml:space="preserve"> </w:t>
            </w:r>
          </w:p>
        </w:tc>
        <w:tc>
          <w:tcPr>
            <w:tcW w:w="992" w:type="pct"/>
            <w:vMerge/>
          </w:tcPr>
          <w:p w14:paraId="23F54668" w14:textId="77777777" w:rsidR="00D34E75" w:rsidRPr="006122E7" w:rsidRDefault="00D34E75" w:rsidP="009D3261">
            <w:pPr>
              <w:rPr>
                <w:color w:val="000000"/>
              </w:rPr>
            </w:pPr>
          </w:p>
        </w:tc>
        <w:tc>
          <w:tcPr>
            <w:tcW w:w="1003" w:type="pct"/>
          </w:tcPr>
          <w:p w14:paraId="139ABC21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42 ppm</w:t>
            </w:r>
          </w:p>
        </w:tc>
      </w:tr>
      <w:tr w:rsidR="00D34E75" w:rsidRPr="006122E7" w14:paraId="7975CC05" w14:textId="77777777" w:rsidTr="00305025">
        <w:trPr>
          <w:trHeight w:val="300"/>
        </w:trPr>
        <w:tc>
          <w:tcPr>
            <w:tcW w:w="860" w:type="pct"/>
            <w:noWrap/>
            <w:hideMark/>
          </w:tcPr>
          <w:p w14:paraId="77B90C96" w14:textId="77777777" w:rsidR="00D34E75" w:rsidRPr="006122E7" w:rsidRDefault="00D34E75" w:rsidP="009D3261">
            <w:pPr>
              <w:ind w:left="0"/>
              <w:rPr>
                <w:b/>
                <w:bCs/>
                <w:color w:val="000000"/>
              </w:rPr>
            </w:pPr>
            <w:r w:rsidRPr="006122E7">
              <w:rPr>
                <w:b/>
                <w:bCs/>
                <w:color w:val="000000"/>
              </w:rPr>
              <w:t>NOx</w:t>
            </w:r>
          </w:p>
        </w:tc>
        <w:tc>
          <w:tcPr>
            <w:tcW w:w="1102" w:type="pct"/>
            <w:noWrap/>
            <w:hideMark/>
          </w:tcPr>
          <w:p w14:paraId="1124BD12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124 ppm</w:t>
            </w:r>
          </w:p>
        </w:tc>
        <w:tc>
          <w:tcPr>
            <w:tcW w:w="1042" w:type="pct"/>
            <w:noWrap/>
          </w:tcPr>
          <w:p w14:paraId="497628A4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780 ppm</w:t>
            </w:r>
            <w:r w:rsidRPr="006122E7" w:rsidDel="00FA632B">
              <w:rPr>
                <w:color w:val="000000"/>
              </w:rPr>
              <w:t xml:space="preserve"> </w:t>
            </w:r>
          </w:p>
        </w:tc>
        <w:tc>
          <w:tcPr>
            <w:tcW w:w="992" w:type="pct"/>
            <w:vMerge/>
          </w:tcPr>
          <w:p w14:paraId="5501F1E5" w14:textId="77777777" w:rsidR="00D34E75" w:rsidRPr="006122E7" w:rsidRDefault="00D34E75" w:rsidP="009D3261">
            <w:pPr>
              <w:rPr>
                <w:color w:val="000000"/>
              </w:rPr>
            </w:pPr>
          </w:p>
        </w:tc>
        <w:tc>
          <w:tcPr>
            <w:tcW w:w="1003" w:type="pct"/>
          </w:tcPr>
          <w:p w14:paraId="46A9C19F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1600 ppm</w:t>
            </w:r>
          </w:p>
        </w:tc>
      </w:tr>
      <w:tr w:rsidR="00D34E75" w:rsidRPr="006122E7" w14:paraId="7BAF6A7C" w14:textId="77777777" w:rsidTr="00305025">
        <w:trPr>
          <w:trHeight w:val="315"/>
        </w:trPr>
        <w:tc>
          <w:tcPr>
            <w:tcW w:w="860" w:type="pct"/>
            <w:noWrap/>
            <w:hideMark/>
          </w:tcPr>
          <w:p w14:paraId="3720E529" w14:textId="77777777" w:rsidR="00D34E75" w:rsidRPr="006122E7" w:rsidRDefault="00D34E75" w:rsidP="009D3261">
            <w:pPr>
              <w:ind w:left="0"/>
              <w:rPr>
                <w:b/>
                <w:bCs/>
                <w:color w:val="000000"/>
              </w:rPr>
            </w:pPr>
            <w:r w:rsidRPr="006122E7">
              <w:rPr>
                <w:b/>
                <w:bCs/>
                <w:color w:val="000000"/>
              </w:rPr>
              <w:t>Metals</w:t>
            </w:r>
          </w:p>
        </w:tc>
        <w:tc>
          <w:tcPr>
            <w:tcW w:w="1102" w:type="pct"/>
            <w:noWrap/>
            <w:hideMark/>
          </w:tcPr>
          <w:p w14:paraId="2F5D5455" w14:textId="5D747AB5" w:rsidR="00D34E75" w:rsidRPr="006122E7" w:rsidRDefault="00D34E75" w:rsidP="004A5CED">
            <w:pPr>
              <w:ind w:hanging="606"/>
              <w:rPr>
                <w:color w:val="000000"/>
              </w:rPr>
            </w:pPr>
            <w:r w:rsidRPr="006122E7">
              <w:rPr>
                <w:color w:val="000000"/>
              </w:rPr>
              <w:t>below diction</w:t>
            </w:r>
            <w:r w:rsidR="00571E7D" w:rsidRPr="006122E7">
              <w:rPr>
                <w:color w:val="000000"/>
              </w:rPr>
              <w:t xml:space="preserve"> </w:t>
            </w:r>
            <w:r w:rsidRPr="006122E7">
              <w:rPr>
                <w:color w:val="000000"/>
              </w:rPr>
              <w:t>limit</w:t>
            </w:r>
          </w:p>
        </w:tc>
        <w:tc>
          <w:tcPr>
            <w:tcW w:w="1042" w:type="pct"/>
            <w:noWrap/>
          </w:tcPr>
          <w:p w14:paraId="2A791254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0.17 ppm</w:t>
            </w:r>
            <w:r w:rsidRPr="006122E7" w:rsidDel="00FA632B">
              <w:rPr>
                <w:color w:val="000000"/>
              </w:rPr>
              <w:t xml:space="preserve"> </w:t>
            </w:r>
          </w:p>
        </w:tc>
        <w:tc>
          <w:tcPr>
            <w:tcW w:w="992" w:type="pct"/>
            <w:vMerge/>
          </w:tcPr>
          <w:p w14:paraId="01C0E501" w14:textId="77777777" w:rsidR="00D34E75" w:rsidRPr="006122E7" w:rsidRDefault="00D34E75" w:rsidP="009D3261">
            <w:pPr>
              <w:rPr>
                <w:color w:val="000000"/>
              </w:rPr>
            </w:pPr>
          </w:p>
        </w:tc>
        <w:tc>
          <w:tcPr>
            <w:tcW w:w="1003" w:type="pct"/>
          </w:tcPr>
          <w:p w14:paraId="601E0B96" w14:textId="77777777" w:rsidR="00D34E75" w:rsidRPr="006122E7" w:rsidRDefault="00D34E75" w:rsidP="009D3261">
            <w:pPr>
              <w:ind w:left="0"/>
              <w:rPr>
                <w:color w:val="000000"/>
              </w:rPr>
            </w:pPr>
            <w:r w:rsidRPr="006122E7">
              <w:rPr>
                <w:color w:val="000000"/>
              </w:rPr>
              <w:t>0.173 ppm</w:t>
            </w:r>
          </w:p>
        </w:tc>
      </w:tr>
    </w:tbl>
    <w:p w14:paraId="13950498" w14:textId="77777777" w:rsidR="00D34E75" w:rsidRDefault="00D34E75" w:rsidP="00D34E75"/>
    <w:p w14:paraId="56DE0446" w14:textId="1886FF35" w:rsidR="009A2560" w:rsidRDefault="00305025" w:rsidP="00305025">
      <w:pPr>
        <w:spacing w:line="360" w:lineRule="auto"/>
        <w:ind w:left="0"/>
      </w:pPr>
      <w:r>
        <w:t xml:space="preserve">These </w:t>
      </w:r>
      <w:r w:rsidR="00D34E75" w:rsidRPr="003F7DBE">
        <w:t xml:space="preserve">air polluting components </w:t>
      </w:r>
      <w:r>
        <w:t xml:space="preserve">have not been observed </w:t>
      </w:r>
      <w:r w:rsidR="00D34E75" w:rsidRPr="003F7DBE">
        <w:t xml:space="preserve">in </w:t>
      </w:r>
      <w:r>
        <w:t xml:space="preserve">the </w:t>
      </w:r>
      <w:r w:rsidR="00D34E75" w:rsidRPr="003F7DBE">
        <w:t xml:space="preserve">tyre waste experimentation. More detailed analysis will be done </w:t>
      </w:r>
      <w:r w:rsidR="00571E7D">
        <w:t xml:space="preserve">going forward, </w:t>
      </w:r>
      <w:r w:rsidR="00D34E75" w:rsidRPr="003F7DBE">
        <w:t>as part of th</w:t>
      </w:r>
      <w:r w:rsidR="00571E7D">
        <w:t xml:space="preserve">e </w:t>
      </w:r>
      <w:r w:rsidR="00D34E75" w:rsidRPr="003F7DBE">
        <w:t>pro</w:t>
      </w:r>
      <w:r w:rsidR="00DF4882">
        <w:t>gram</w:t>
      </w:r>
      <w:r w:rsidR="00571E7D">
        <w:t>me</w:t>
      </w:r>
      <w:r w:rsidR="00D34E75" w:rsidRPr="003F7DBE">
        <w:t>.</w:t>
      </w:r>
    </w:p>
    <w:sectPr w:rsidR="009A2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698"/>
    <w:multiLevelType w:val="hybridMultilevel"/>
    <w:tmpl w:val="C8C83BF2"/>
    <w:lvl w:ilvl="0" w:tplc="2714AD1A">
      <w:start w:val="1"/>
      <w:numFmt w:val="decimal"/>
      <w:pStyle w:val="ListParagraph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0F09"/>
    <w:multiLevelType w:val="hybridMultilevel"/>
    <w:tmpl w:val="B3509450"/>
    <w:lvl w:ilvl="0" w:tplc="5DB42BFC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02E0EDF"/>
    <w:multiLevelType w:val="hybridMultilevel"/>
    <w:tmpl w:val="8EE69B06"/>
    <w:lvl w:ilvl="0" w:tplc="A63E36A2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A3119"/>
    <w:multiLevelType w:val="multilevel"/>
    <w:tmpl w:val="3342F676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7200278"/>
    <w:multiLevelType w:val="hybridMultilevel"/>
    <w:tmpl w:val="D788FE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4414B4"/>
    <w:multiLevelType w:val="hybridMultilevel"/>
    <w:tmpl w:val="E22C4D22"/>
    <w:lvl w:ilvl="0" w:tplc="633EC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75295">
    <w:abstractNumId w:val="3"/>
  </w:num>
  <w:num w:numId="2" w16cid:durableId="1246567832">
    <w:abstractNumId w:val="1"/>
  </w:num>
  <w:num w:numId="3" w16cid:durableId="1341003945">
    <w:abstractNumId w:val="5"/>
  </w:num>
  <w:num w:numId="4" w16cid:durableId="2057653774">
    <w:abstractNumId w:val="2"/>
  </w:num>
  <w:num w:numId="5" w16cid:durableId="460881194">
    <w:abstractNumId w:val="0"/>
  </w:num>
  <w:num w:numId="6" w16cid:durableId="1884781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75"/>
    <w:rsid w:val="000F4040"/>
    <w:rsid w:val="00106A37"/>
    <w:rsid w:val="001D26A3"/>
    <w:rsid w:val="002C300D"/>
    <w:rsid w:val="002E2DDE"/>
    <w:rsid w:val="00305025"/>
    <w:rsid w:val="0031151B"/>
    <w:rsid w:val="004A5CED"/>
    <w:rsid w:val="00563E89"/>
    <w:rsid w:val="00571E7D"/>
    <w:rsid w:val="006122E7"/>
    <w:rsid w:val="00675B4B"/>
    <w:rsid w:val="008914C9"/>
    <w:rsid w:val="009A2560"/>
    <w:rsid w:val="009D1785"/>
    <w:rsid w:val="00B5483C"/>
    <w:rsid w:val="00C5066E"/>
    <w:rsid w:val="00D34E75"/>
    <w:rsid w:val="00DC7EF3"/>
    <w:rsid w:val="00DD5AC9"/>
    <w:rsid w:val="00DF4882"/>
    <w:rsid w:val="00EC6268"/>
    <w:rsid w:val="00F92F59"/>
    <w:rsid w:val="00FE1816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164B"/>
  <w15:chartTrackingRefBased/>
  <w15:docId w15:val="{0ECC6670-FF46-4208-8D7A-834775E9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75"/>
    <w:pPr>
      <w:spacing w:after="120" w:line="276" w:lineRule="auto"/>
      <w:ind w:left="720"/>
      <w:jc w:val="both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autoRedefine/>
    <w:uiPriority w:val="34"/>
    <w:qFormat/>
    <w:rsid w:val="006122E7"/>
    <w:pPr>
      <w:numPr>
        <w:numId w:val="5"/>
      </w:numPr>
      <w:spacing w:before="240"/>
      <w:ind w:left="284"/>
      <w:contextualSpacing/>
    </w:pPr>
    <w:rPr>
      <w:rFonts w:eastAsia="Calibri"/>
      <w:b/>
      <w:bCs/>
      <w:szCs w:val="22"/>
      <w:lang w:val="en-ZA" w:eastAsia="en-US"/>
    </w:rPr>
  </w:style>
  <w:style w:type="character" w:customStyle="1" w:styleId="ListParagraphChar">
    <w:name w:val="List Paragraph Char"/>
    <w:link w:val="ListParagraph"/>
    <w:uiPriority w:val="34"/>
    <w:rsid w:val="006122E7"/>
    <w:rPr>
      <w:rFonts w:ascii="Arial" w:eastAsia="Calibri" w:hAnsi="Arial" w:cs="Times New Roman"/>
      <w:b/>
      <w:bCs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91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4C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Revision">
    <w:name w:val="Revision"/>
    <w:hidden/>
    <w:uiPriority w:val="99"/>
    <w:semiHidden/>
    <w:rsid w:val="00C5066E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66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66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506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0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0B74-21E5-4559-99A9-1B46E742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 van der Walt</dc:creator>
  <cp:keywords/>
  <dc:description/>
  <cp:lastModifiedBy>Dr. Neville Smith</cp:lastModifiedBy>
  <cp:revision>6</cp:revision>
  <dcterms:created xsi:type="dcterms:W3CDTF">2022-02-28T12:12:00Z</dcterms:created>
  <dcterms:modified xsi:type="dcterms:W3CDTF">2022-02-28T12:24:00Z</dcterms:modified>
</cp:coreProperties>
</file>